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Effektiv integration med arbetslinje i Borlänge – språkkrav och jobb för minskat utanförskap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Andelen vuxna biståndsmottagare med långvarigt ekonomiskt bistånd är 46,5 % (2024, över rikssnitt 39,1 %). Kolada visar strukturella utmaningar i arbete och socialt stöd. Kommunen har inlett samverkan med Internationella kvinnoföreningen för ökad integration och minskat utanförskap bland utrikesfödda.</w:t>
      </w:r>
    </w:p>
    <w:p>
      <w:pPr>
        <w:spacing w:after="120"/>
      </w:pPr>
      <w:r>
        <w:t xml:space="preserve">Moderaterna vill koppla försörjningsstöd till krav på svenska språkkunskaper och aktiv arbetssökande eller utbildning. Kvalitet i SFI, jobbmatchning och validering av utländsk kompetens är nycklar. Arbetslinje minskar utanförskap och stärker kommunens ekonomi.</w:t>
      </w:r>
    </w:p>
    <w:p>
      <w:pPr>
        <w:spacing w:after="120"/>
      </w:pPr>
      <w:r>
        <w:t xml:space="preserve">En sådan politik är både rättvis mot de som arbetar och effektiv för att bryta bidragsberoende. Den kompletterar kommunens befintliga insatser och ger tydligare resultat.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 i uppdrag att införa språkkrav och aktivitetskrav kopplat till försörjningsstöd från 2027, i linje med nationella riktlinjer, samt redovisa effekter på långvarigt bistånd.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samverkan med Arbetsförmedlingen och näringslivet stärka SFI-kvalitet, validering och jobbmatchning för utrikesfödda, med mål om ökad andel som går till arbete eller studier.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projektmedel för utökad samverkan med civilsamhället (t.ex. Internationella kvinnoföreningen) kring integration, språkcaféer och arbetsmarknadsinsatser.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andel långvarigt bistånd, integrationsinsatser och utfall till kommunfullmäktige som en del av den ekonomiska uppföljningen.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2026-06-05T15:26:01.277Z</dcterms:created>
  <dcterms:modified xsi:type="dcterms:W3CDTF">2026-06-05T15:26:01.277Z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